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63E95">
      <w:pPr>
        <w:pStyle w:val="7"/>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Theme="minorEastAsia" w:hAnsiTheme="minorEastAsia" w:eastAsiaTheme="minorEastAsia" w:cstheme="minorEastAsia"/>
          <w:b/>
          <w:color w:val="auto"/>
          <w:spacing w:val="0"/>
          <w:w w:val="100"/>
          <w:sz w:val="32"/>
          <w:szCs w:val="32"/>
          <w:lang w:val="en-US" w:eastAsia="zh-CN"/>
        </w:rPr>
      </w:pPr>
      <w:bookmarkStart w:id="0" w:name="OLE_LINK1"/>
      <w:r>
        <w:rPr>
          <w:rFonts w:hint="eastAsia" w:asciiTheme="minorEastAsia" w:hAnsiTheme="minorEastAsia" w:eastAsiaTheme="minorEastAsia" w:cstheme="minorEastAsia"/>
          <w:b/>
          <w:color w:val="auto"/>
          <w:spacing w:val="0"/>
          <w:w w:val="100"/>
          <w:sz w:val="32"/>
          <w:szCs w:val="32"/>
          <w:lang w:val="en-US" w:eastAsia="zh-CN"/>
        </w:rPr>
        <w:t>附件4：</w:t>
      </w:r>
    </w:p>
    <w:p w14:paraId="67153920">
      <w:pPr>
        <w:pageBreakBefore w:val="0"/>
        <w:kinsoku/>
        <w:wordWrap/>
        <w:overflowPunct/>
        <w:topLinePunct w:val="0"/>
        <w:autoSpaceDE/>
        <w:autoSpaceDN/>
        <w:bidi w:val="0"/>
        <w:adjustRightInd/>
        <w:snapToGrid/>
        <w:spacing w:line="560" w:lineRule="exact"/>
        <w:textAlignment w:val="auto"/>
        <w:rPr>
          <w:rFonts w:hint="eastAsia"/>
        </w:rPr>
      </w:pPr>
    </w:p>
    <w:p w14:paraId="2AB7FE3D">
      <w:pPr>
        <w:spacing w:after="120" w:afterLines="50" w:line="240" w:lineRule="auto"/>
        <w:jc w:val="center"/>
        <w:rPr>
          <w:rFonts w:hint="eastAsia" w:ascii="宋体" w:hAnsi="宋体" w:eastAsia="宋体"/>
          <w:b/>
          <w:color w:val="FF0000"/>
          <w:spacing w:val="45"/>
          <w:w w:val="80"/>
          <w:sz w:val="84"/>
          <w:szCs w:val="84"/>
        </w:rPr>
      </w:pPr>
      <w:r>
        <w:rPr>
          <w:rFonts w:ascii="宋体" w:hAnsi="宋体" w:eastAsia="宋体"/>
          <w:b/>
          <w:color w:val="FF0000"/>
          <w:spacing w:val="57"/>
          <w:w w:val="80"/>
          <w:sz w:val="84"/>
          <w:szCs w:val="84"/>
        </w:rPr>
        <w:t>中国循环经济协会</w:t>
      </w:r>
    </w:p>
    <w:p w14:paraId="38917064">
      <w:pPr>
        <w:spacing w:after="120" w:afterLines="50" w:line="240" w:lineRule="auto"/>
        <w:jc w:val="both"/>
        <w:rPr>
          <w:rFonts w:hint="eastAsia" w:ascii="宋体" w:hAnsi="宋体" w:eastAsia="宋体" w:cs="宋体"/>
          <w:b/>
          <w:color w:val="FF0000"/>
          <w:spacing w:val="-12"/>
          <w:w w:val="70"/>
          <w:sz w:val="64"/>
          <w:szCs w:val="64"/>
          <w:lang w:val="en-US" w:eastAsia="zh-CN"/>
        </w:rPr>
      </w:pPr>
      <w:r>
        <w:rPr>
          <w:rFonts w:hint="eastAsia" w:ascii="宋体" w:hAnsi="宋体" w:eastAsia="宋体" w:cs="宋体"/>
          <w:b/>
          <w:color w:val="FF0000"/>
          <w:spacing w:val="-40"/>
          <w:w w:val="80"/>
          <w:sz w:val="64"/>
          <w:szCs w:val="64"/>
          <w:lang w:val="en-US" w:eastAsia="zh-CN"/>
        </w:rPr>
        <w:t>退役风光设备循环利用</w:t>
      </w:r>
      <w:r>
        <w:rPr>
          <w:rFonts w:hint="eastAsia" w:ascii="宋体" w:hAnsi="宋体" w:eastAsia="宋体" w:cs="宋体"/>
          <w:b/>
          <w:color w:val="FF0000"/>
          <w:spacing w:val="-40"/>
          <w:w w:val="80"/>
          <w:sz w:val="64"/>
          <w:szCs w:val="64"/>
        </w:rPr>
        <w:t>专业委员会</w:t>
      </w:r>
      <w:r>
        <w:rPr>
          <w:rFonts w:hint="eastAsia" w:ascii="宋体" w:hAnsi="宋体" w:eastAsia="宋体" w:cs="宋体"/>
          <w:b/>
          <w:color w:val="FF0000"/>
          <w:spacing w:val="-40"/>
          <w:w w:val="80"/>
          <w:sz w:val="64"/>
          <w:szCs w:val="64"/>
          <w:lang w:val="en-US" w:eastAsia="zh-CN"/>
        </w:rPr>
        <w:t>文件</w:t>
      </w:r>
    </w:p>
    <w:p w14:paraId="505FE073">
      <w:pPr>
        <w:ind w:left="0" w:firstLine="0"/>
      </w:pPr>
    </w:p>
    <w:p w14:paraId="27CE8172">
      <w:pPr>
        <w:pStyle w:val="8"/>
        <w:spacing w:after="177" w:line="259" w:lineRule="auto"/>
        <w:ind w:left="0" w:right="0" w:firstLine="0"/>
        <w:rPr>
          <w:rFonts w:hint="eastAsia"/>
          <w:b/>
          <w:bCs/>
          <w:sz w:val="44"/>
          <w:szCs w:val="44"/>
        </w:rPr>
      </w:pPr>
      <w:r>
        <w:rPr>
          <w:rFonts w:hint="eastAsia" w:ascii="仿宋" w:hAnsi="仿宋" w:eastAsia="仿宋"/>
          <w:bCs/>
          <w:sz w:val="32"/>
          <w:szCs w:val="32"/>
        </w:rPr>
        <w:t>中循</w:t>
      </w:r>
      <w:r>
        <w:rPr>
          <w:rFonts w:hint="eastAsia"/>
          <w:bCs/>
          <w:sz w:val="32"/>
          <w:szCs w:val="32"/>
          <w:lang w:val="en-US" w:eastAsia="zh-CN"/>
        </w:rPr>
        <w:t>协退役风光设备</w:t>
      </w:r>
      <w:r>
        <w:rPr>
          <w:rFonts w:hint="eastAsia" w:ascii="仿宋" w:hAnsi="仿宋" w:eastAsia="仿宋"/>
          <w:sz w:val="32"/>
          <w:szCs w:val="32"/>
        </w:rPr>
        <w:t>〔</w:t>
      </w:r>
      <w:r>
        <w:rPr>
          <w:rFonts w:hint="eastAsia" w:ascii="仿宋" w:hAnsi="仿宋" w:eastAsia="仿宋"/>
          <w:bCs/>
          <w:sz w:val="32"/>
          <w:szCs w:val="32"/>
        </w:rPr>
        <w:t>20</w:t>
      </w:r>
      <w:r>
        <w:rPr>
          <w:rFonts w:hint="eastAsia"/>
          <w:bCs/>
          <w:sz w:val="32"/>
          <w:szCs w:val="32"/>
          <w:lang w:val="en-US" w:eastAsia="zh-CN"/>
        </w:rPr>
        <w:t>26</w:t>
      </w:r>
      <w:r>
        <w:rPr>
          <w:rFonts w:hint="eastAsia" w:ascii="仿宋" w:hAnsi="仿宋" w:eastAsia="仿宋"/>
          <w:sz w:val="32"/>
          <w:szCs w:val="32"/>
        </w:rPr>
        <w:t>〕</w:t>
      </w:r>
      <w:r>
        <w:rPr>
          <w:rFonts w:hint="eastAsia"/>
          <w:sz w:val="32"/>
          <w:szCs w:val="32"/>
          <w:lang w:val="en-US" w:eastAsia="zh-CN"/>
        </w:rPr>
        <w:t>01</w:t>
      </w:r>
      <w:r>
        <w:rPr>
          <w:rFonts w:hint="eastAsia" w:ascii="仿宋" w:hAnsi="仿宋" w:eastAsia="仿宋"/>
          <w:bCs/>
          <w:sz w:val="32"/>
          <w:szCs w:val="32"/>
        </w:rPr>
        <w:t>号</w:t>
      </w:r>
      <w:r>
        <w:rPr>
          <w:rFonts w:ascii="仿宋" w:hAnsi="仿宋" w:eastAsia="仿宋"/>
          <w:bCs/>
          <w:sz w:val="32"/>
          <w:szCs w:val="32"/>
        </w:rPr>
        <w:br w:type="textWrapping"/>
      </w:r>
      <w:bookmarkStart w:id="2" w:name="_GoBack"/>
      <w:r>
        <w:rPr>
          <w:w w:val="75"/>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448945</wp:posOffset>
                </wp:positionV>
                <wp:extent cx="54489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448935" cy="0"/>
                        </a:xfrm>
                        <a:prstGeom prst="line">
                          <a:avLst/>
                        </a:prstGeom>
                        <a:ln w="952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15pt;margin-top:35.35pt;height:0pt;width:429.05pt;z-index:251659264;mso-width-relative:page;mso-height-relative:page;" filled="f" stroked="t" coordsize="21600,21600" o:gfxdata="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OkJ1gAAAAgBAAAPAAAAAAAAAAEAIAAAACIAAABkcnMvZG93bnJldi54&#10;bWxQSwECFAAUAAAACACHTuJAiwb0IvwBAADyAwAADgAAAAAAAAABACAAAAAlAQAAZHJzL2Uyb0Rv&#10;Yy54bWxQSwUGAAAAAAYABgBZAQAAkwUAAAAA&#10;">
                <v:path arrowok="t"/>
                <v:fill on="f" focussize="0,0"/>
                <v:stroke color="#FF0000" joinstyle="round"/>
                <v:imagedata o:title=""/>
                <o:lock v:ext="edit" aspectratio="f"/>
              </v:line>
            </w:pict>
          </mc:Fallback>
        </mc:AlternateContent>
      </w:r>
      <w:bookmarkEnd w:id="2"/>
    </w:p>
    <w:bookmarkEnd w:id="0"/>
    <w:p w14:paraId="7EFDAD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关于邀请加入中国循环经济协会</w:t>
      </w:r>
    </w:p>
    <w:p w14:paraId="6C694E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lang w:val="en-US" w:eastAsia="zh-CN"/>
        </w:rPr>
      </w:pPr>
      <w:r>
        <w:rPr>
          <w:rFonts w:hint="eastAsia" w:ascii="方正小标宋简体" w:hAnsi="方正小标宋简体" w:eastAsia="方正小标宋简体" w:cs="方正小标宋简体"/>
          <w:sz w:val="44"/>
          <w:szCs w:val="44"/>
          <w:lang w:val="en-US" w:eastAsia="zh-CN"/>
        </w:rPr>
        <w:t>退役风光设备循环利用专业委员会的函</w:t>
      </w:r>
      <w:r>
        <w:rPr>
          <w:rFonts w:hint="eastAsia" w:ascii="方正小标宋简体" w:hAnsi="方正小标宋简体" w:eastAsia="方正小标宋简体" w:cs="方正小标宋简体"/>
          <w:sz w:val="44"/>
          <w:szCs w:val="44"/>
          <w:lang w:val="en-US" w:eastAsia="zh-CN"/>
        </w:rPr>
        <w:br w:type="textWrapping"/>
      </w:r>
    </w:p>
    <w:p w14:paraId="78AA935E">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rPr>
          <w:rFonts w:hint="default" w:ascii="仿宋_GB2312" w:hAnsi="仿宋_GB2312" w:eastAsia="仿宋_GB2312" w:cs="仿宋_GB2312"/>
          <w:bCs/>
          <w:kern w:val="2"/>
          <w:sz w:val="32"/>
          <w:szCs w:val="32"/>
          <w:lang w:val="en-US" w:eastAsia="zh-CN" w:bidi="ar-SA"/>
        </w:rPr>
      </w:pPr>
      <w:bookmarkStart w:id="1" w:name="OLE_LINK2"/>
      <w:r>
        <w:rPr>
          <w:rFonts w:hint="eastAsia" w:ascii="仿宋_GB2312" w:hAnsi="仿宋_GB2312" w:eastAsia="仿宋_GB2312" w:cs="仿宋_GB2312"/>
          <w:bCs/>
          <w:kern w:val="2"/>
          <w:sz w:val="32"/>
          <w:szCs w:val="32"/>
          <w:lang w:val="en-US" w:eastAsia="zh-CN" w:bidi="ar-SA"/>
        </w:rPr>
        <w:t>各有关单位：</w:t>
      </w:r>
    </w:p>
    <w:p w14:paraId="4C2575E5">
      <w:pPr>
        <w:keepNext w:val="0"/>
        <w:keepLines w:val="0"/>
        <w:pageBreakBefore w:val="0"/>
        <w:widowControl w:val="0"/>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随着风光设备的大规模应用，其退役后的循环利用问题也日益凸显。为深入贯彻党中央决策部署，推进落实国家发展改革委等部门《关于促进退役风电、光伏设备循环利用的指导意见》（发改环资〔</w:t>
      </w:r>
      <w:r>
        <w:rPr>
          <w:rFonts w:hint="default" w:ascii="仿宋_GB2312" w:hAnsi="仿宋_GB2312" w:eastAsia="仿宋_GB2312" w:cs="仿宋_GB2312"/>
          <w:bCs/>
          <w:kern w:val="2"/>
          <w:sz w:val="32"/>
          <w:szCs w:val="32"/>
          <w:lang w:val="en-US" w:eastAsia="zh-CN" w:bidi="ar-SA"/>
        </w:rPr>
        <w:t>2023</w:t>
      </w:r>
      <w:r>
        <w:rPr>
          <w:rFonts w:hint="eastAsia" w:ascii="仿宋_GB2312" w:hAnsi="仿宋_GB2312" w:eastAsia="仿宋_GB2312" w:cs="仿宋_GB2312"/>
          <w:bCs/>
          <w:kern w:val="2"/>
          <w:sz w:val="32"/>
          <w:szCs w:val="32"/>
          <w:lang w:val="en-US" w:eastAsia="zh-CN" w:bidi="ar-SA"/>
        </w:rPr>
        <w:t>〕</w:t>
      </w:r>
      <w:r>
        <w:rPr>
          <w:rFonts w:hint="default" w:ascii="仿宋_GB2312" w:hAnsi="仿宋_GB2312" w:eastAsia="仿宋_GB2312" w:cs="仿宋_GB2312"/>
          <w:bCs/>
          <w:kern w:val="2"/>
          <w:sz w:val="32"/>
          <w:szCs w:val="32"/>
          <w:lang w:val="en-US" w:eastAsia="zh-CN" w:bidi="ar-SA"/>
        </w:rPr>
        <w:t>1030</w:t>
      </w:r>
      <w:r>
        <w:rPr>
          <w:rFonts w:hint="eastAsia" w:ascii="仿宋_GB2312" w:hAnsi="仿宋_GB2312" w:eastAsia="仿宋_GB2312" w:cs="仿宋_GB2312"/>
          <w:bCs/>
          <w:kern w:val="2"/>
          <w:sz w:val="32"/>
          <w:szCs w:val="32"/>
          <w:lang w:val="en-US" w:eastAsia="zh-CN" w:bidi="ar-SA"/>
        </w:rPr>
        <w:t>号）、《循环经济发展“十五五”规划》等一系列文件精神，加强促进退役风电光伏设备的规范利用，推进退役风电机组、光伏组件等新能源固废处置领域高质量发展。中国循环经济协会退役风光设备循环利用专业委员会（简称专委会）诚邀风电和光伏行业相关产学研用单位加入专委会。</w:t>
      </w:r>
      <w:r>
        <w:rPr>
          <w:rFonts w:hint="eastAsia" w:ascii="仿宋_GB2312" w:hAnsi="仿宋_GB2312" w:eastAsia="仿宋_GB2312" w:cs="仿宋_GB2312"/>
          <w:bCs/>
          <w:kern w:val="2"/>
          <w:sz w:val="32"/>
          <w:szCs w:val="32"/>
          <w:lang w:val="en-US" w:eastAsia="zh-CN" w:bidi="ar-SA"/>
        </w:rPr>
        <w:br w:type="textWrapping"/>
      </w:r>
      <w:r>
        <w:rPr>
          <w:rFonts w:hint="eastAsia" w:ascii="仿宋_GB2312" w:hAnsi="仿宋_GB2312" w:eastAsia="仿宋_GB2312" w:cs="仿宋_GB2312"/>
          <w:bCs/>
          <w:kern w:val="2"/>
          <w:sz w:val="32"/>
          <w:szCs w:val="32"/>
          <w:lang w:val="en-US" w:eastAsia="zh-CN" w:bidi="ar-SA"/>
        </w:rPr>
        <w:t xml:space="preserve">    专委会将积极推动产业调研，系统分析新能源产业高速发展带来的巨量废弃新兴固废设备循环利用的产业现状、面临问题和发展展望，甄选行业典型案例</w:t>
      </w:r>
      <w:r>
        <w:rPr>
          <w:rFonts w:hint="default" w:ascii="仿宋_GB2312" w:hAnsi="仿宋_GB2312" w:eastAsia="仿宋_GB2312" w:cs="仿宋_GB2312"/>
          <w:bCs/>
          <w:kern w:val="2"/>
          <w:sz w:val="32"/>
          <w:szCs w:val="32"/>
          <w:lang w:val="en-US" w:eastAsia="zh-CN" w:bidi="ar-SA"/>
        </w:rPr>
        <w:t>，</w:t>
      </w:r>
      <w:r>
        <w:rPr>
          <w:rFonts w:hint="eastAsia" w:ascii="仿宋_GB2312" w:hAnsi="仿宋_GB2312" w:eastAsia="仿宋_GB2312" w:cs="仿宋_GB2312"/>
          <w:bCs/>
          <w:kern w:val="2"/>
          <w:sz w:val="32"/>
          <w:szCs w:val="32"/>
          <w:lang w:val="en-US" w:eastAsia="zh-CN" w:bidi="ar-SA"/>
        </w:rPr>
        <w:t>积极</w:t>
      </w:r>
      <w:r>
        <w:rPr>
          <w:rFonts w:hint="default" w:ascii="仿宋_GB2312" w:hAnsi="仿宋_GB2312" w:eastAsia="仿宋_GB2312" w:cs="仿宋_GB2312"/>
          <w:bCs/>
          <w:kern w:val="2"/>
          <w:sz w:val="32"/>
          <w:szCs w:val="32"/>
          <w:lang w:val="en-US" w:eastAsia="zh-CN" w:bidi="ar-SA"/>
        </w:rPr>
        <w:t>搭建资源互补共享的智库服务平台，</w:t>
      </w:r>
      <w:r>
        <w:rPr>
          <w:rFonts w:hint="eastAsia" w:ascii="仿宋_GB2312" w:hAnsi="仿宋_GB2312" w:eastAsia="仿宋_GB2312" w:cs="仿宋_GB2312"/>
          <w:bCs/>
          <w:kern w:val="2"/>
          <w:sz w:val="32"/>
          <w:szCs w:val="32"/>
          <w:lang w:val="en-US" w:eastAsia="zh-CN" w:bidi="ar-SA"/>
        </w:rPr>
        <w:t>共同推进和参与团体标准、行业标准以及国家标准的制修订，鼓励会员单位参与中国循环经济协会科技成果评价、科学技术奖励及专利奖励申报等工作，</w:t>
      </w:r>
      <w:r>
        <w:rPr>
          <w:rFonts w:hint="default" w:ascii="仿宋_GB2312" w:hAnsi="仿宋_GB2312" w:eastAsia="仿宋_GB2312" w:cs="仿宋_GB2312"/>
          <w:bCs/>
          <w:kern w:val="2"/>
          <w:sz w:val="32"/>
          <w:szCs w:val="32"/>
          <w:lang w:val="en-US" w:eastAsia="zh-CN" w:bidi="ar-SA"/>
        </w:rPr>
        <w:t>维护本领域会员合法权益，及时向协会或政府反映协会会员的愿望与诉求</w:t>
      </w:r>
      <w:r>
        <w:rPr>
          <w:rFonts w:hint="eastAsia" w:ascii="仿宋_GB2312" w:hAnsi="仿宋_GB2312" w:eastAsia="仿宋_GB2312" w:cs="仿宋_GB2312"/>
          <w:bCs/>
          <w:kern w:val="2"/>
          <w:sz w:val="32"/>
          <w:szCs w:val="32"/>
          <w:lang w:val="en-US" w:eastAsia="zh-CN" w:bidi="ar-SA"/>
        </w:rPr>
        <w:t>，积极响应国家部委有关指导政策。</w:t>
      </w:r>
    </w:p>
    <w:p w14:paraId="12F74401">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lang w:val="en-US" w:eastAsia="zh-CN"/>
        </w:rPr>
        <w:t>让我们与行业企业和社会各界一道，</w:t>
      </w:r>
      <w:r>
        <w:rPr>
          <w:rFonts w:hint="eastAsia" w:ascii="仿宋_GB2312" w:hAnsi="仿宋_GB2312" w:eastAsia="仿宋_GB2312" w:cs="仿宋_GB2312"/>
          <w:sz w:val="32"/>
          <w:szCs w:val="32"/>
          <w:lang w:val="en-US" w:eastAsia="zh-CN"/>
        </w:rPr>
        <w:t>集聚行业优势资源，</w:t>
      </w:r>
      <w:r>
        <w:rPr>
          <w:rFonts w:hint="eastAsia" w:ascii="仿宋_GB2312" w:hAnsi="仿宋_GB2312" w:eastAsia="仿宋_GB2312" w:cs="仿宋_GB2312"/>
          <w:bCs/>
          <w:sz w:val="32"/>
          <w:szCs w:val="32"/>
        </w:rPr>
        <w:t>持续构建退役设备循环利用技术标准体系</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促进</w:t>
      </w:r>
      <w:r>
        <w:rPr>
          <w:rFonts w:hint="eastAsia" w:ascii="仿宋_GB2312" w:hAnsi="仿宋_GB2312" w:eastAsia="仿宋_GB2312" w:cs="仿宋_GB2312"/>
          <w:bCs/>
          <w:sz w:val="32"/>
          <w:szCs w:val="32"/>
        </w:rPr>
        <w:t>政产学研用</w:t>
      </w:r>
      <w:r>
        <w:rPr>
          <w:rFonts w:hint="eastAsia" w:ascii="仿宋_GB2312" w:hAnsi="仿宋_GB2312" w:eastAsia="仿宋_GB2312" w:cs="仿宋_GB2312"/>
          <w:bCs/>
          <w:sz w:val="32"/>
          <w:szCs w:val="32"/>
          <w:lang w:val="en-US" w:eastAsia="zh-CN"/>
        </w:rPr>
        <w:t>各方</w:t>
      </w:r>
      <w:r>
        <w:rPr>
          <w:rFonts w:hint="eastAsia" w:ascii="仿宋_GB2312" w:hAnsi="仿宋_GB2312" w:eastAsia="仿宋_GB2312" w:cs="仿宋_GB2312"/>
          <w:bCs/>
          <w:sz w:val="32"/>
          <w:szCs w:val="32"/>
        </w:rPr>
        <w:t>协同发力，广开门路、因地制宜</w:t>
      </w:r>
      <w:r>
        <w:rPr>
          <w:rFonts w:hint="eastAsia" w:ascii="仿宋_GB2312" w:hAnsi="仿宋_GB2312" w:eastAsia="仿宋_GB2312" w:cs="仿宋_GB2312"/>
          <w:bCs/>
          <w:sz w:val="32"/>
          <w:szCs w:val="32"/>
          <w:lang w:val="en-US" w:eastAsia="zh-CN"/>
        </w:rPr>
        <w:t>的</w:t>
      </w:r>
      <w:r>
        <w:rPr>
          <w:rFonts w:hint="eastAsia" w:ascii="仿宋_GB2312" w:hAnsi="仿宋_GB2312" w:eastAsia="仿宋_GB2312" w:cs="仿宋_GB2312"/>
          <w:bCs/>
          <w:sz w:val="32"/>
          <w:szCs w:val="32"/>
        </w:rPr>
        <w:t>创造应用场景和商业模式，为我国大规模退役风光设备的到来做好准备。</w:t>
      </w:r>
    </w:p>
    <w:p w14:paraId="5B53967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请贵单位按格式要求完成附件1-3项申请填报，将电子文档回传至专委会秘书处</w:t>
      </w:r>
      <w:r>
        <w:rPr>
          <w:rFonts w:hint="eastAsia" w:ascii="仿宋_GB2312" w:hAnsi="仿宋_GB2312" w:eastAsia="仿宋_GB2312" w:cs="仿宋_GB2312"/>
          <w:sz w:val="32"/>
          <w:szCs w:val="32"/>
          <w:lang w:val="en-US" w:eastAsia="zh-CN"/>
        </w:rPr>
        <w:t>。</w:t>
      </w:r>
    </w:p>
    <w:p w14:paraId="3A1DFE8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仿宋_GB2312" w:eastAsia="仿宋_GB2312" w:cs="仿宋_GB2312"/>
          <w:sz w:val="32"/>
          <w:szCs w:val="32"/>
          <w:lang w:val="en-US" w:eastAsia="zh-CN"/>
        </w:rPr>
      </w:pPr>
    </w:p>
    <w:p w14:paraId="7D7A71D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2238" w:leftChars="304" w:right="0" w:hanging="1600" w:hanging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联系人：赵  雪，手机：18501125668（同微信）</w:t>
      </w:r>
    </w:p>
    <w:p w14:paraId="5969184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2238" w:leftChars="304" w:right="0" w:hanging="1600" w:hanging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附件：1.《中国循环经济协会会员入会申请书》</w:t>
      </w:r>
    </w:p>
    <w:p w14:paraId="4B804512">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2236" w:leftChars="760" w:right="0"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《中国循环经济协会会员登记表》</w:t>
      </w:r>
    </w:p>
    <w:p w14:paraId="20C882EB">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2236" w:leftChars="760" w:right="0"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《企业基本情况简介》</w:t>
      </w:r>
    </w:p>
    <w:p w14:paraId="735560CC">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2236" w:leftChars="760" w:right="0"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《中国循环经济协会章程》</w:t>
      </w:r>
    </w:p>
    <w:p w14:paraId="17888E6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560" w:right="0" w:rightChars="0"/>
        <w:textAlignment w:val="auto"/>
        <w:rPr>
          <w:rFonts w:hint="eastAsia" w:ascii="仿宋_GB2312" w:hAnsi="仿宋_GB2312" w:eastAsia="仿宋_GB2312" w:cs="仿宋_GB2312"/>
          <w:sz w:val="32"/>
          <w:szCs w:val="32"/>
          <w:lang w:val="en-US" w:eastAsia="zh-CN"/>
        </w:rPr>
      </w:pPr>
    </w:p>
    <w:p w14:paraId="7395CF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中国循环经济协会退役风光设备循环利用专委会</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2026年1月1日</w:t>
      </w:r>
      <w:bookmarkEnd w:id="1"/>
    </w:p>
    <w:p w14:paraId="71CE7D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414CF8"/>
    <w:multiLevelType w:val="singleLevel"/>
    <w:tmpl w:val="71414CF8"/>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95876"/>
    <w:rsid w:val="7DC9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1"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7">
    <w:name w:val="heading 1"/>
    <w:next w:val="1"/>
    <w:qFormat/>
    <w:uiPriority w:val="0"/>
    <w:pPr>
      <w:keepNext/>
      <w:keepLines/>
      <w:spacing w:line="249" w:lineRule="auto"/>
      <w:ind w:left="428" w:hanging="428"/>
      <w:outlineLvl w:val="0"/>
    </w:pPr>
    <w:rPr>
      <w:rFonts w:ascii="宋体" w:hAnsi="宋体" w:eastAsia="宋体" w:cs="Times New Roman"/>
      <w:color w:val="FF0000"/>
      <w:sz w:val="72"/>
      <w:lang w:bidi="ar-SA"/>
    </w:rPr>
  </w:style>
  <w:style w:type="paragraph" w:styleId="8">
    <w:name w:val="heading 2"/>
    <w:next w:val="1"/>
    <w:unhideWhenUsed/>
    <w:qFormat/>
    <w:uiPriority w:val="0"/>
    <w:pPr>
      <w:keepNext/>
      <w:keepLines/>
      <w:spacing w:after="137" w:line="265" w:lineRule="auto"/>
      <w:ind w:left="10" w:right="322" w:hanging="10"/>
      <w:jc w:val="center"/>
      <w:outlineLvl w:val="1"/>
    </w:pPr>
    <w:rPr>
      <w:rFonts w:ascii="仿宋" w:hAnsi="仿宋" w:eastAsia="仿宋" w:cs="Times New Roman"/>
      <w:color w:val="000000"/>
      <w:sz w:val="32"/>
      <w:lang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next w:val="1"/>
    <w:unhideWhenUsed/>
    <w:qFormat/>
    <w:uiPriority w:val="1"/>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Body Text First Indent"/>
    <w:basedOn w:val="5"/>
    <w:next w:val="5"/>
    <w:unhideWhenUsed/>
    <w:qFormat/>
    <w:uiPriority w:val="99"/>
    <w:pPr>
      <w:widowControl w:val="0"/>
      <w:spacing w:after="120"/>
      <w:ind w:firstLine="420" w:firstLineChars="100"/>
      <w:jc w:val="both"/>
    </w:pPr>
    <w:rPr>
      <w:rFonts w:ascii="Times New Roman" w:hAnsi="Times New Roman" w:eastAsia="宋体" w:cs="Times New Roman"/>
      <w:kern w:val="0"/>
      <w:sz w:val="20"/>
      <w:szCs w:val="24"/>
      <w:lang w:val="en-US" w:eastAsia="zh-CN" w:bidi="ar-SA"/>
    </w:rPr>
  </w:style>
  <w:style w:type="paragraph" w:styleId="5">
    <w:name w:val="Body Text"/>
    <w:basedOn w:val="1"/>
    <w:next w:val="6"/>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6">
    <w:name w:val="Body Text 2"/>
    <w:basedOn w:val="1"/>
    <w:next w:val="5"/>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2026-08-07T03:35:00Z</dcterms:created>
  <dc:creator>Kicaz</dc:creator>
  <cp:lastModifiedBy>Kicaz</cp:lastModifiedBy>
  <dcterms:modified xsi:type="dcterms:W3CDTF">2026-08-07T03:35:50Z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60D27E89A0EE425FA996ECED872F838C_11</vt:lpwstr>
  </property>
  <property fmtid="{D5CDD505-2E9C-101B-9397-08002B2CF9AE}" pid="4" name="KSOTemplateDocerSaveRecord">
    <vt:lpwstr>eyJoZGlkIjoiMDQyYWMyMGQ0MzA3MzY4YzVhYzYyM2NjOWUzMmM5NjciLCJ1c2VySWQiOiI5NDE3MjM5OTEifQ==</vt:lpwstr>
  </property>
</Properties>
</file>